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41" w:rsidRDefault="001A5E96">
      <w:pPr>
        <w:pStyle w:val="30"/>
        <w:shd w:val="clear" w:color="auto" w:fill="auto"/>
        <w:ind w:right="360"/>
      </w:pPr>
      <w:r>
        <w:rPr>
          <w:rStyle w:val="31"/>
        </w:rPr>
        <w:t>since July 1, 2020</w:t>
      </w:r>
    </w:p>
    <w:p w:rsidR="00676F41" w:rsidRDefault="001A5E96" w:rsidP="00C22DD2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3"/>
      <w:r>
        <w:t>EU citizens</w:t>
      </w:r>
      <w:bookmarkEnd w:id="0"/>
    </w:p>
    <w:p w:rsidR="00676F41" w:rsidRDefault="00676F41">
      <w:pPr>
        <w:pStyle w:val="a4"/>
        <w:framePr w:w="15600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2702"/>
        <w:gridCol w:w="2640"/>
        <w:gridCol w:w="2246"/>
        <w:gridCol w:w="1589"/>
        <w:gridCol w:w="2285"/>
        <w:gridCol w:w="1027"/>
      </w:tblGrid>
      <w:tr w:rsidR="00676F4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Visa Fee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0"/>
              </w:rPr>
              <w:t>Transit (B)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0"/>
              </w:rPr>
              <w:t>Short-term (C)</w:t>
            </w:r>
          </w:p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(up to 90 days)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0"/>
              </w:rPr>
              <w:t>Long-term (D)</w:t>
            </w:r>
          </w:p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(more than 90 days)</w:t>
            </w:r>
          </w:p>
        </w:tc>
      </w:tr>
      <w:tr w:rsidR="00676F4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676F41" w:rsidRDefault="00676F41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children up to 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adults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children up to 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adults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children up to 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ind w:left="280"/>
              <w:jc w:val="left"/>
            </w:pPr>
            <w:r>
              <w:rPr>
                <w:rStyle w:val="2105pt"/>
              </w:rPr>
              <w:t>adults</w:t>
            </w:r>
          </w:p>
        </w:tc>
      </w:tr>
      <w:tr w:rsidR="00676F4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Ordinary procedure (within 5 working days, visa </w:t>
            </w:r>
            <w:r>
              <w:rPr>
                <w:rStyle w:val="211pt"/>
              </w:rPr>
              <w:t>is ready in one week)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35</w:t>
            </w:r>
          </w:p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EUR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35</w:t>
            </w:r>
          </w:p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EUR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35</w:t>
            </w:r>
          </w:p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ind w:left="280"/>
              <w:jc w:val="left"/>
            </w:pPr>
            <w:r>
              <w:rPr>
                <w:rStyle w:val="2105pt"/>
              </w:rPr>
              <w:t>EUR</w:t>
            </w:r>
          </w:p>
        </w:tc>
      </w:tr>
      <w:tr w:rsidR="00676F4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Express procedure (within 48 hours)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70</w:t>
            </w:r>
          </w:p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EUR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70</w:t>
            </w:r>
          </w:p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EUR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F41" w:rsidRDefault="001A5E96" w:rsidP="00C22DD2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ind w:right="180"/>
              <w:jc w:val="center"/>
            </w:pPr>
            <w:r>
              <w:rPr>
                <w:rStyle w:val="2105pt"/>
              </w:rPr>
              <w:t>70</w:t>
            </w:r>
          </w:p>
          <w:p w:rsidR="00676F41" w:rsidRDefault="001A5E96">
            <w:pPr>
              <w:pStyle w:val="20"/>
              <w:framePr w:w="15600" w:wrap="notBeside" w:vAnchor="text" w:hAnchor="text" w:xAlign="center" w:y="1"/>
              <w:shd w:val="clear" w:color="auto" w:fill="auto"/>
              <w:spacing w:before="0" w:after="0" w:line="232" w:lineRule="exact"/>
              <w:ind w:left="280"/>
              <w:jc w:val="left"/>
            </w:pPr>
            <w:r>
              <w:rPr>
                <w:rStyle w:val="2105pt"/>
              </w:rPr>
              <w:t>EUR</w:t>
            </w:r>
          </w:p>
        </w:tc>
      </w:tr>
    </w:tbl>
    <w:p w:rsidR="00676F41" w:rsidRDefault="00676F41">
      <w:pPr>
        <w:framePr w:w="15600" w:wrap="notBeside" w:vAnchor="text" w:hAnchor="text" w:xAlign="center" w:y="1"/>
        <w:rPr>
          <w:sz w:val="2"/>
          <w:szCs w:val="2"/>
        </w:rPr>
      </w:pPr>
    </w:p>
    <w:p w:rsidR="00676F41" w:rsidRDefault="00676F41">
      <w:pPr>
        <w:rPr>
          <w:sz w:val="2"/>
          <w:szCs w:val="2"/>
        </w:rPr>
      </w:pPr>
    </w:p>
    <w:p w:rsidR="00C22DD2" w:rsidRPr="00C22DD2" w:rsidRDefault="00C22DD2" w:rsidP="00C22DD2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0"/>
      <w:r>
        <w:rPr>
          <w:rStyle w:val="1Exact"/>
          <w:b/>
          <w:bCs/>
        </w:rPr>
        <w:t>All</w:t>
      </w:r>
      <w:bookmarkStart w:id="2" w:name="bookmark1"/>
      <w:bookmarkEnd w:id="1"/>
      <w:r w:rsidRPr="00C22DD2">
        <w:rPr>
          <w:rStyle w:val="1Exact"/>
          <w:b/>
          <w:bCs/>
        </w:rPr>
        <w:t xml:space="preserve"> </w:t>
      </w:r>
      <w:r>
        <w:rPr>
          <w:rStyle w:val="1Exact"/>
          <w:b/>
          <w:bCs/>
        </w:rPr>
        <w:t>other</w:t>
      </w:r>
      <w:bookmarkStart w:id="3" w:name="bookmark2"/>
      <w:bookmarkEnd w:id="2"/>
      <w:r w:rsidRPr="00C22DD2">
        <w:rPr>
          <w:rStyle w:val="1Exact"/>
          <w:b/>
          <w:bCs/>
        </w:rPr>
        <w:t xml:space="preserve"> </w:t>
      </w:r>
      <w:r>
        <w:rPr>
          <w:rStyle w:val="1Exact"/>
          <w:b/>
          <w:bCs/>
        </w:rPr>
        <w:t>citizens</w:t>
      </w:r>
      <w:bookmarkEnd w:id="3"/>
      <w:r w:rsidRPr="00C22DD2">
        <w:rPr>
          <w:sz w:val="28"/>
          <w:szCs w:val="28"/>
        </w:rPr>
        <w:t xml:space="preserve"> (</w:t>
      </w:r>
      <w:r w:rsidRPr="00C22DD2">
        <w:rPr>
          <w:sz w:val="28"/>
          <w:szCs w:val="28"/>
        </w:rPr>
        <w:t>Japan citizens free of charge</w:t>
      </w:r>
      <w:r w:rsidRPr="00C22DD2">
        <w:rPr>
          <w:sz w:val="28"/>
          <w:szCs w:val="28"/>
        </w:rPr>
        <w:t>)</w:t>
      </w:r>
    </w:p>
    <w:p w:rsidR="00C22DD2" w:rsidRDefault="00C22DD2" w:rsidP="00C22DD2">
      <w:pPr>
        <w:pStyle w:val="40"/>
        <w:shd w:val="clear" w:color="auto" w:fill="auto"/>
        <w:tabs>
          <w:tab w:val="left" w:pos="2904"/>
          <w:tab w:val="left" w:pos="4435"/>
          <w:tab w:val="left" w:pos="5784"/>
        </w:tabs>
        <w:spacing w:after="0" w:line="240" w:lineRule="auto"/>
      </w:pPr>
      <w:r>
        <w:t>*children</w:t>
      </w:r>
      <w:r>
        <w:tab/>
        <w:t>until</w:t>
      </w:r>
      <w:r>
        <w:tab/>
        <w:t>14</w:t>
      </w:r>
      <w:r>
        <w:tab/>
        <w:t>years</w:t>
      </w:r>
    </w:p>
    <w:p w:rsidR="00C22DD2" w:rsidRDefault="00C22DD2" w:rsidP="00C22DD2">
      <w:pPr>
        <w:pStyle w:val="10"/>
        <w:keepNext/>
        <w:keepLines/>
        <w:shd w:val="clear" w:color="auto" w:fill="auto"/>
        <w:spacing w:after="0" w:line="240" w:lineRule="auto"/>
        <w:rPr>
          <w:rStyle w:val="1Exact"/>
          <w:b/>
          <w:bCs/>
        </w:rPr>
      </w:pPr>
    </w:p>
    <w:p w:rsidR="00C22DD2" w:rsidRDefault="00C22DD2" w:rsidP="00C22DD2">
      <w:pPr>
        <w:pStyle w:val="40"/>
        <w:shd w:val="clear" w:color="auto" w:fill="auto"/>
        <w:tabs>
          <w:tab w:val="left" w:pos="2904"/>
          <w:tab w:val="left" w:pos="4435"/>
          <w:tab w:val="left" w:pos="5784"/>
        </w:tabs>
        <w:spacing w:after="0" w:line="240" w:lineRule="auto"/>
        <w:ind w:left="1080"/>
      </w:pPr>
      <w:bookmarkStart w:id="4" w:name="_GoBack"/>
      <w:bookmarkEnd w:id="4"/>
    </w:p>
    <w:tbl>
      <w:tblPr>
        <w:tblpPr w:leftFromText="180" w:rightFromText="180" w:vertAnchor="text" w:horzAnchor="margin" w:tblpY="3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898"/>
        <w:gridCol w:w="941"/>
        <w:gridCol w:w="682"/>
        <w:gridCol w:w="878"/>
        <w:gridCol w:w="744"/>
        <w:gridCol w:w="955"/>
        <w:gridCol w:w="845"/>
        <w:gridCol w:w="998"/>
        <w:gridCol w:w="802"/>
        <w:gridCol w:w="898"/>
        <w:gridCol w:w="902"/>
        <w:gridCol w:w="941"/>
        <w:gridCol w:w="979"/>
        <w:gridCol w:w="1301"/>
      </w:tblGrid>
      <w:tr w:rsidR="00C22DD2" w:rsidTr="00C22DD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Visa Fee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0"/>
              </w:rPr>
              <w:t>Transit (B)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0"/>
              </w:rPr>
              <w:t>Short-term (C)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(up to 90 days)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05pt0"/>
              </w:rPr>
              <w:t xml:space="preserve">Long-term (D) </w:t>
            </w:r>
            <w:r>
              <w:rPr>
                <w:rStyle w:val="2105pt"/>
              </w:rPr>
              <w:t>(more than 90 days)</w:t>
            </w:r>
          </w:p>
        </w:tc>
      </w:tr>
      <w:tr w:rsidR="00C22DD2" w:rsidTr="00C22DD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DD2" w:rsidRDefault="00C22DD2" w:rsidP="00C22DD2"/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single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double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right="280"/>
              <w:jc w:val="right"/>
            </w:pPr>
            <w:r>
              <w:rPr>
                <w:rStyle w:val="2105pt"/>
              </w:rPr>
              <w:t>multiple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right="260"/>
              <w:jc w:val="right"/>
            </w:pPr>
            <w:r>
              <w:rPr>
                <w:rStyle w:val="2105pt"/>
              </w:rPr>
              <w:t>single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right"/>
            </w:pPr>
            <w:r>
              <w:rPr>
                <w:rStyle w:val="2105pt"/>
              </w:rPr>
              <w:t>double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right"/>
            </w:pPr>
            <w:r>
              <w:rPr>
                <w:rStyle w:val="2105pt"/>
              </w:rPr>
              <w:t>multiple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right"/>
            </w:pPr>
            <w:r>
              <w:rPr>
                <w:rStyle w:val="2105pt"/>
              </w:rPr>
              <w:t>multiple</w:t>
            </w:r>
          </w:p>
        </w:tc>
      </w:tr>
      <w:tr w:rsidR="00C22DD2" w:rsidTr="00C22DD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DD2" w:rsidRDefault="00C22DD2" w:rsidP="00C22DD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adults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ind w:left="140"/>
              <w:jc w:val="left"/>
            </w:pPr>
            <w:r>
              <w:rPr>
                <w:rStyle w:val="275pt"/>
              </w:rPr>
              <w:t>children*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ind w:left="140"/>
              <w:jc w:val="left"/>
            </w:pPr>
            <w:r>
              <w:rPr>
                <w:rStyle w:val="275pt"/>
              </w:rPr>
              <w:t>adults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jc w:val="left"/>
            </w:pPr>
            <w:r>
              <w:rPr>
                <w:rStyle w:val="275pt"/>
              </w:rPr>
              <w:t>children*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ind w:left="160"/>
              <w:jc w:val="left"/>
            </w:pPr>
            <w:r>
              <w:rPr>
                <w:rStyle w:val="275pt"/>
              </w:rPr>
              <w:t>adults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ind w:left="160"/>
              <w:jc w:val="left"/>
            </w:pPr>
            <w:r>
              <w:rPr>
                <w:rStyle w:val="275pt"/>
              </w:rPr>
              <w:t>children*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adults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ind w:left="180"/>
              <w:jc w:val="left"/>
            </w:pPr>
            <w:r>
              <w:rPr>
                <w:rStyle w:val="275pt"/>
              </w:rPr>
              <w:t>children*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ind w:left="200"/>
              <w:jc w:val="left"/>
            </w:pPr>
            <w:r>
              <w:rPr>
                <w:rStyle w:val="275pt"/>
              </w:rPr>
              <w:t>adults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jc w:val="left"/>
            </w:pPr>
            <w:r>
              <w:rPr>
                <w:rStyle w:val="275pt"/>
              </w:rPr>
              <w:t>children*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adults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ind w:left="160"/>
              <w:jc w:val="left"/>
            </w:pPr>
            <w:r>
              <w:rPr>
                <w:rStyle w:val="275pt"/>
              </w:rPr>
              <w:t>children*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adults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children*</w:t>
            </w:r>
          </w:p>
        </w:tc>
      </w:tr>
      <w:tr w:rsidR="00C22DD2" w:rsidTr="00C22DD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Ordinary procedure (within 5 working days, visa is ready in one week)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60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4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40"/>
              <w:jc w:val="left"/>
            </w:pPr>
            <w:r>
              <w:rPr>
                <w:rStyle w:val="2105pt"/>
              </w:rPr>
              <w:t>60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14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60"/>
              <w:jc w:val="left"/>
            </w:pPr>
            <w:r>
              <w:rPr>
                <w:rStyle w:val="2105pt"/>
              </w:rPr>
              <w:t>60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16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60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2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300"/>
              <w:jc w:val="left"/>
            </w:pPr>
            <w:r>
              <w:rPr>
                <w:rStyle w:val="2105pt"/>
              </w:rPr>
              <w:t>60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0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60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right="240"/>
              <w:jc w:val="right"/>
            </w:pPr>
            <w:r>
              <w:rPr>
                <w:rStyle w:val="2105pt"/>
              </w:rPr>
              <w:t>EUR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60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8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</w:tr>
      <w:tr w:rsidR="00C22DD2" w:rsidTr="00C22DD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Express procedure (within 48 hours)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120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4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40"/>
              <w:jc w:val="left"/>
            </w:pPr>
            <w:r>
              <w:rPr>
                <w:rStyle w:val="2105pt"/>
              </w:rPr>
              <w:t>120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14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60"/>
              <w:jc w:val="left"/>
            </w:pPr>
            <w:r>
              <w:rPr>
                <w:rStyle w:val="2105pt"/>
              </w:rPr>
              <w:t>120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16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320"/>
              <w:jc w:val="left"/>
            </w:pPr>
            <w:r>
              <w:rPr>
                <w:rStyle w:val="2105pt"/>
              </w:rPr>
              <w:t>120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2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300"/>
              <w:jc w:val="left"/>
            </w:pPr>
            <w:r>
              <w:rPr>
                <w:rStyle w:val="2105pt"/>
              </w:rPr>
              <w:t>120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0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120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right="240"/>
              <w:jc w:val="right"/>
            </w:pPr>
            <w:r>
              <w:rPr>
                <w:rStyle w:val="2105pt"/>
              </w:rPr>
              <w:t>EUR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120</w:t>
            </w:r>
          </w:p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ind w:left="280"/>
              <w:jc w:val="left"/>
            </w:pPr>
            <w:r>
              <w:rPr>
                <w:rStyle w:val="2105pt"/>
              </w:rPr>
              <w:t>EUR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DD2" w:rsidRDefault="00C22DD2" w:rsidP="00C22DD2">
            <w:pPr>
              <w:pStyle w:val="20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0</w:t>
            </w:r>
          </w:p>
        </w:tc>
      </w:tr>
    </w:tbl>
    <w:p w:rsidR="00676F41" w:rsidRDefault="00676F41">
      <w:pPr>
        <w:pStyle w:val="a4"/>
        <w:framePr w:w="15826" w:wrap="notBeside" w:vAnchor="text" w:hAnchor="text" w:xAlign="center" w:y="1"/>
        <w:shd w:val="clear" w:color="auto" w:fill="auto"/>
      </w:pPr>
    </w:p>
    <w:p w:rsidR="00676F41" w:rsidRDefault="00676F41">
      <w:pPr>
        <w:framePr w:w="15826" w:wrap="notBeside" w:vAnchor="text" w:hAnchor="text" w:xAlign="center" w:y="1"/>
        <w:rPr>
          <w:sz w:val="2"/>
          <w:szCs w:val="2"/>
        </w:rPr>
      </w:pPr>
    </w:p>
    <w:p w:rsidR="00676F41" w:rsidRDefault="00676F41">
      <w:pPr>
        <w:spacing w:line="660" w:lineRule="exact"/>
      </w:pPr>
    </w:p>
    <w:sectPr w:rsidR="00676F41" w:rsidSect="00C22DD2">
      <w:pgSz w:w="16840" w:h="11900" w:orient="landscape"/>
      <w:pgMar w:top="1160" w:right="177" w:bottom="284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96" w:rsidRDefault="001A5E96">
      <w:r>
        <w:separator/>
      </w:r>
    </w:p>
  </w:endnote>
  <w:endnote w:type="continuationSeparator" w:id="0">
    <w:p w:rsidR="001A5E96" w:rsidRDefault="001A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96" w:rsidRDefault="001A5E96"/>
  </w:footnote>
  <w:footnote w:type="continuationSeparator" w:id="0">
    <w:p w:rsidR="001A5E96" w:rsidRDefault="001A5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1"/>
    <w:rsid w:val="001A5E96"/>
    <w:rsid w:val="00676F41"/>
    <w:rsid w:val="00C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EE66"/>
  <w15:docId w15:val="{DCAF0FBB-380B-4B97-BD05-F68B739B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933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4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" w:line="16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D861-BFEB-40C3-8727-971F9A25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diakov.net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Diplomat3</dc:creator>
  <cp:lastModifiedBy>Diplomat3</cp:lastModifiedBy>
  <cp:revision>1</cp:revision>
  <dcterms:created xsi:type="dcterms:W3CDTF">2020-07-06T08:56:00Z</dcterms:created>
  <dcterms:modified xsi:type="dcterms:W3CDTF">2020-07-06T09:03:00Z</dcterms:modified>
</cp:coreProperties>
</file>